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9"/>
        <w:ind w:left="0" w:right="139" w:firstLine="0"/>
        <w:jc w:val="right"/>
        <w:rPr>
          <w:b/>
          <w:sz w:val="22"/>
        </w:rPr>
      </w:pPr>
      <w:r>
        <w:rPr>
          <w:b/>
          <w:sz w:val="22"/>
          <w:u w:val="single"/>
        </w:rPr>
        <w:t>2. sz.</w:t>
      </w:r>
      <w:r>
        <w:rPr>
          <w:b/>
          <w:spacing w:val="1"/>
          <w:sz w:val="22"/>
          <w:u w:val="single"/>
        </w:rPr>
        <w:t> </w:t>
      </w:r>
      <w:r>
        <w:rPr>
          <w:b/>
          <w:spacing w:val="-2"/>
          <w:sz w:val="22"/>
          <w:u w:val="single"/>
        </w:rPr>
        <w:t>melléklet</w:t>
      </w:r>
    </w:p>
    <w:p>
      <w:pPr>
        <w:pStyle w:val="BodyText"/>
        <w:spacing w:before="264"/>
        <w:rPr>
          <w:b/>
          <w:sz w:val="24"/>
        </w:rPr>
      </w:pPr>
    </w:p>
    <w:p>
      <w:pPr>
        <w:pStyle w:val="Heading1"/>
      </w:pPr>
      <w:r>
        <w:rPr>
          <w:spacing w:val="-2"/>
        </w:rPr>
        <w:t>Nyilatkozatok</w:t>
      </w:r>
    </w:p>
    <w:p>
      <w:pPr>
        <w:pStyle w:val="BodyText"/>
        <w:rPr>
          <w:b/>
          <w:sz w:val="24"/>
        </w:rPr>
      </w:pPr>
    </w:p>
    <w:p>
      <w:pPr>
        <w:spacing w:before="1"/>
        <w:ind w:left="2" w:right="3" w:firstLine="0"/>
        <w:jc w:val="center"/>
        <w:rPr>
          <w:i/>
          <w:sz w:val="22"/>
        </w:rPr>
      </w:pPr>
      <w:r>
        <w:rPr>
          <w:i/>
          <w:sz w:val="22"/>
        </w:rPr>
        <w:t>az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államháztartás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önkormányzati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alrendszeréből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nyújtott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támogatás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igénybe</w:t>
      </w:r>
      <w:r>
        <w:rPr>
          <w:i/>
          <w:spacing w:val="-5"/>
          <w:sz w:val="22"/>
        </w:rPr>
        <w:t> </w:t>
      </w:r>
      <w:r>
        <w:rPr>
          <w:i/>
          <w:spacing w:val="-2"/>
          <w:sz w:val="22"/>
        </w:rPr>
        <w:t>vételéhez</w:t>
      </w:r>
    </w:p>
    <w:p>
      <w:pPr>
        <w:pStyle w:val="BodyText"/>
        <w:rPr>
          <w:i/>
        </w:rPr>
      </w:pPr>
    </w:p>
    <w:p>
      <w:pPr>
        <w:pStyle w:val="BodyText"/>
        <w:spacing w:before="48"/>
        <w:rPr>
          <w:i/>
        </w:rPr>
      </w:pPr>
    </w:p>
    <w:p>
      <w:pPr>
        <w:pStyle w:val="BodyText"/>
        <w:tabs>
          <w:tab w:pos="8214" w:val="left" w:leader="dot"/>
        </w:tabs>
        <w:spacing w:line="477" w:lineRule="auto"/>
        <w:ind w:left="141" w:right="142"/>
      </w:pPr>
      <w:r>
        <w:rPr/>
        <w:t>Alulírott</w:t>
      </w:r>
      <w:r>
        <w:rPr>
          <w:spacing w:val="-5"/>
        </w:rPr>
        <w:t> </w:t>
      </w:r>
      <w:r>
        <w:rPr/>
        <w:t>…………………………….……,</w:t>
      </w:r>
      <w:r>
        <w:rPr>
          <w:spacing w:val="-5"/>
        </w:rPr>
        <w:t> </w:t>
      </w:r>
      <w:r>
        <w:rPr/>
        <w:t>mint</w:t>
      </w:r>
      <w:r>
        <w:rPr>
          <w:spacing w:val="-7"/>
        </w:rPr>
        <w:t> </w:t>
      </w:r>
      <w:r>
        <w:rPr/>
        <w:t>a</w:t>
      </w:r>
      <w:r>
        <w:rPr>
          <w:spacing w:val="-5"/>
        </w:rPr>
        <w:t> </w:t>
      </w:r>
      <w:r>
        <w:rPr/>
        <w:t>…………………….…………………………...…. (szervezet</w:t>
      </w:r>
      <w:r>
        <w:rPr>
          <w:spacing w:val="70"/>
        </w:rPr>
        <w:t> </w:t>
      </w:r>
      <w:r>
        <w:rPr>
          <w:spacing w:val="-2"/>
        </w:rPr>
        <w:t>neve)</w:t>
      </w:r>
      <w:r>
        <w:rPr>
          <w:rFonts w:ascii="Times New Roman" w:hAnsi="Times New Roman"/>
        </w:rPr>
        <w:tab/>
      </w:r>
      <w:r>
        <w:rPr>
          <w:spacing w:val="-2"/>
        </w:rPr>
        <w:t>(székhely)</w:t>
      </w:r>
    </w:p>
    <w:p>
      <w:pPr>
        <w:pStyle w:val="BodyText"/>
        <w:tabs>
          <w:tab w:pos="2618" w:val="left" w:leader="none"/>
          <w:tab w:pos="3840" w:val="left" w:leader="none"/>
          <w:tab w:pos="4540" w:val="left" w:leader="none"/>
          <w:tab w:pos="6060" w:val="left" w:leader="none"/>
          <w:tab w:pos="6798" w:val="left" w:leader="none"/>
          <w:tab w:pos="8106" w:val="left" w:leader="none"/>
        </w:tabs>
        <w:spacing w:before="4"/>
        <w:ind w:left="141" w:right="137"/>
      </w:pPr>
      <w:r>
        <w:rPr>
          <w:spacing w:val="-2"/>
        </w:rPr>
        <w:t>………………………….</w:t>
      </w:r>
      <w:r>
        <w:rPr/>
        <w:tab/>
      </w:r>
      <w:r>
        <w:rPr>
          <w:spacing w:val="-2"/>
        </w:rPr>
        <w:t>(adószám,</w:t>
      </w:r>
      <w:r>
        <w:rPr/>
        <w:tab/>
      </w:r>
      <w:r>
        <w:rPr>
          <w:spacing w:val="-4"/>
        </w:rPr>
        <w:t>vagy</w:t>
      </w:r>
      <w:r>
        <w:rPr/>
        <w:tab/>
      </w:r>
      <w:r>
        <w:rPr>
          <w:spacing w:val="-2"/>
        </w:rPr>
        <w:t>adóazonosító</w:t>
      </w:r>
      <w:r>
        <w:rPr/>
        <w:tab/>
      </w:r>
      <w:r>
        <w:rPr>
          <w:spacing w:val="-4"/>
        </w:rPr>
        <w:t>jel)</w:t>
      </w:r>
      <w:r>
        <w:rPr/>
        <w:tab/>
      </w:r>
      <w:r>
        <w:rPr>
          <w:spacing w:val="-2"/>
        </w:rPr>
        <w:t>képviselője</w:t>
      </w:r>
      <w:r>
        <w:rPr/>
        <w:tab/>
      </w:r>
      <w:r>
        <w:rPr>
          <w:spacing w:val="-2"/>
        </w:rPr>
        <w:t>büntetőjogi </w:t>
      </w:r>
      <w:r>
        <w:rPr/>
        <w:t>felelősségem tudatában kijelentem, hogy az általam képviselt szervezet: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0" w:lineRule="auto" w:before="0" w:after="0"/>
        <w:ind w:left="565" w:right="139" w:hanging="425"/>
        <w:jc w:val="both"/>
        <w:rPr>
          <w:sz w:val="22"/>
        </w:rPr>
      </w:pPr>
      <w:r>
        <w:rPr>
          <w:sz w:val="22"/>
        </w:rPr>
        <w:t>a helyi és az állami adóhatósággal szemben, lejárt esedékességű, meg nem fizetett köztartozással nem rendelkezik;</w:t>
      </w:r>
    </w:p>
    <w:p>
      <w:pPr>
        <w:pStyle w:val="ListParagraph"/>
        <w:numPr>
          <w:ilvl w:val="0"/>
          <w:numId w:val="1"/>
        </w:numPr>
        <w:tabs>
          <w:tab w:pos="565" w:val="left" w:leader="none"/>
        </w:tabs>
        <w:spacing w:line="240" w:lineRule="auto" w:before="240" w:after="0"/>
        <w:ind w:left="565" w:right="140" w:hanging="425"/>
        <w:jc w:val="both"/>
        <w:rPr>
          <w:sz w:val="22"/>
        </w:rPr>
      </w:pPr>
      <w:r>
        <w:rPr>
          <w:sz w:val="22"/>
        </w:rPr>
        <w:t>nem áll jogerős végzéssel elrendelt végelszámolás, felszámolás alatt, ellene jogerős végzéssel elrendelt csődeljárás vagy egyéb, a megszüntetésére irányuló, jogszabályban meghatározott eljárás nincs folyamatban;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  <w:tab w:pos="568" w:val="left" w:leader="none"/>
        </w:tabs>
        <w:spacing w:line="240" w:lineRule="auto" w:before="241" w:after="0"/>
        <w:ind w:left="568" w:right="136" w:hanging="428"/>
        <w:jc w:val="both"/>
        <w:rPr>
          <w:sz w:val="22"/>
        </w:rPr>
      </w:pPr>
      <w:r>
        <w:rPr>
          <w:sz w:val="22"/>
        </w:rPr>
        <w:t>a 2011. évi CXCV. törvény 50. § (1) bekezdés a) pontjában és a 368/2011. (XII.31.) Korm. rendelet 82. §-ában foglaltak értelmében a rendezett munkaügyi kapcsolatok követelményének (</w:t>
      </w:r>
      <w:r>
        <w:rPr>
          <w:i/>
          <w:sz w:val="22"/>
        </w:rPr>
        <w:t>megfelelő aláhúzandó</w:t>
      </w:r>
      <w:r>
        <w:rPr>
          <w:sz w:val="22"/>
        </w:rPr>
        <w:t>):</w:t>
      </w:r>
    </w:p>
    <w:p>
      <w:pPr>
        <w:pStyle w:val="ListParagraph"/>
        <w:numPr>
          <w:ilvl w:val="1"/>
          <w:numId w:val="1"/>
        </w:numPr>
        <w:tabs>
          <w:tab w:pos="847" w:val="left" w:leader="none"/>
        </w:tabs>
        <w:spacing w:line="272" w:lineRule="exact" w:before="0" w:after="0"/>
        <w:ind w:left="847" w:right="0" w:hanging="279"/>
        <w:jc w:val="both"/>
        <w:rPr>
          <w:sz w:val="22"/>
        </w:rPr>
      </w:pPr>
      <w:r>
        <w:rPr>
          <w:spacing w:val="-2"/>
          <w:sz w:val="22"/>
        </w:rPr>
        <w:t>megfelel;</w:t>
      </w:r>
    </w:p>
    <w:p>
      <w:pPr>
        <w:pStyle w:val="ListParagraph"/>
        <w:numPr>
          <w:ilvl w:val="1"/>
          <w:numId w:val="1"/>
        </w:numPr>
        <w:tabs>
          <w:tab w:pos="847" w:val="left" w:leader="none"/>
        </w:tabs>
        <w:spacing w:line="240" w:lineRule="auto" w:before="0" w:after="0"/>
        <w:ind w:left="847" w:right="0" w:hanging="282"/>
        <w:jc w:val="both"/>
        <w:rPr>
          <w:sz w:val="22"/>
        </w:rPr>
      </w:pPr>
      <w:r>
        <w:rPr>
          <w:sz w:val="22"/>
        </w:rPr>
        <w:t>megfelelése</w:t>
      </w:r>
      <w:r>
        <w:rPr>
          <w:spacing w:val="-6"/>
          <w:sz w:val="22"/>
        </w:rPr>
        <w:t> </w:t>
      </w:r>
      <w:r>
        <w:rPr>
          <w:sz w:val="22"/>
        </w:rPr>
        <w:t>munkavállaló</w:t>
      </w:r>
      <w:r>
        <w:rPr>
          <w:spacing w:val="-7"/>
          <w:sz w:val="22"/>
        </w:rPr>
        <w:t> </w:t>
      </w:r>
      <w:r>
        <w:rPr>
          <w:sz w:val="22"/>
        </w:rPr>
        <w:t>foglalkoztatásának</w:t>
      </w:r>
      <w:r>
        <w:rPr>
          <w:spacing w:val="-8"/>
          <w:sz w:val="22"/>
        </w:rPr>
        <w:t> </w:t>
      </w:r>
      <w:r>
        <w:rPr>
          <w:sz w:val="22"/>
        </w:rPr>
        <w:t>hiányában</w:t>
      </w:r>
      <w:r>
        <w:rPr>
          <w:spacing w:val="-7"/>
          <w:sz w:val="22"/>
        </w:rPr>
        <w:t> </w:t>
      </w:r>
      <w:r>
        <w:rPr>
          <w:sz w:val="22"/>
        </w:rPr>
        <w:t>nem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releváns;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  <w:tab w:pos="568" w:val="left" w:leader="none"/>
        </w:tabs>
        <w:spacing w:line="240" w:lineRule="auto" w:before="240" w:after="0"/>
        <w:ind w:left="568" w:right="138" w:hanging="428"/>
        <w:jc w:val="both"/>
        <w:rPr>
          <w:sz w:val="22"/>
        </w:rPr>
      </w:pPr>
      <w:r>
        <w:rPr>
          <w:sz w:val="22"/>
        </w:rPr>
        <w:t>az</w:t>
      </w:r>
      <w:r>
        <w:rPr>
          <w:spacing w:val="-4"/>
          <w:sz w:val="22"/>
        </w:rPr>
        <w:t> </w:t>
      </w:r>
      <w:r>
        <w:rPr>
          <w:sz w:val="22"/>
        </w:rPr>
        <w:t>államháztartásról</w:t>
      </w:r>
      <w:r>
        <w:rPr>
          <w:spacing w:val="-4"/>
          <w:sz w:val="22"/>
        </w:rPr>
        <w:t> </w:t>
      </w:r>
      <w:r>
        <w:rPr>
          <w:sz w:val="22"/>
        </w:rPr>
        <w:t>szóló</w:t>
      </w:r>
      <w:r>
        <w:rPr>
          <w:spacing w:val="-6"/>
          <w:sz w:val="22"/>
        </w:rPr>
        <w:t> </w:t>
      </w:r>
      <w:r>
        <w:rPr>
          <w:sz w:val="22"/>
        </w:rPr>
        <w:t>2011.</w:t>
      </w:r>
      <w:r>
        <w:rPr>
          <w:spacing w:val="-4"/>
          <w:sz w:val="22"/>
        </w:rPr>
        <w:t> </w:t>
      </w:r>
      <w:r>
        <w:rPr>
          <w:sz w:val="22"/>
        </w:rPr>
        <w:t>évi</w:t>
      </w:r>
      <w:r>
        <w:rPr>
          <w:spacing w:val="-7"/>
          <w:sz w:val="22"/>
        </w:rPr>
        <w:t> </w:t>
      </w:r>
      <w:r>
        <w:rPr>
          <w:sz w:val="22"/>
        </w:rPr>
        <w:t>CXCV.</w:t>
      </w:r>
      <w:r>
        <w:rPr>
          <w:spacing w:val="-4"/>
          <w:sz w:val="22"/>
        </w:rPr>
        <w:t> </w:t>
      </w:r>
      <w:r>
        <w:rPr>
          <w:sz w:val="22"/>
        </w:rPr>
        <w:t>törvény</w:t>
      </w:r>
      <w:r>
        <w:rPr>
          <w:spacing w:val="-4"/>
          <w:sz w:val="22"/>
        </w:rPr>
        <w:t> </w:t>
      </w:r>
      <w:r>
        <w:rPr>
          <w:sz w:val="22"/>
        </w:rPr>
        <w:t>(Áht.)</w:t>
      </w:r>
      <w:r>
        <w:rPr>
          <w:spacing w:val="-3"/>
          <w:sz w:val="22"/>
        </w:rPr>
        <w:t> </w:t>
      </w:r>
      <w:r>
        <w:rPr>
          <w:sz w:val="22"/>
        </w:rPr>
        <w:t>50.</w:t>
      </w:r>
      <w:r>
        <w:rPr>
          <w:spacing w:val="-4"/>
          <w:sz w:val="22"/>
        </w:rPr>
        <w:t> </w:t>
      </w:r>
      <w:r>
        <w:rPr>
          <w:sz w:val="22"/>
        </w:rPr>
        <w:t>§</w:t>
      </w:r>
      <w:r>
        <w:rPr>
          <w:spacing w:val="-9"/>
          <w:sz w:val="22"/>
        </w:rPr>
        <w:t> </w:t>
      </w:r>
      <w:r>
        <w:rPr>
          <w:sz w:val="22"/>
        </w:rPr>
        <w:t>(1)</w:t>
      </w:r>
      <w:r>
        <w:rPr>
          <w:spacing w:val="-3"/>
          <w:sz w:val="22"/>
        </w:rPr>
        <w:t> </w:t>
      </w:r>
      <w:r>
        <w:rPr>
          <w:sz w:val="22"/>
        </w:rPr>
        <w:t>bekezdés</w:t>
      </w:r>
      <w:r>
        <w:rPr>
          <w:spacing w:val="-7"/>
          <w:sz w:val="22"/>
        </w:rPr>
        <w:t> </w:t>
      </w:r>
      <w:r>
        <w:rPr>
          <w:sz w:val="22"/>
        </w:rPr>
        <w:t>c)</w:t>
      </w:r>
      <w:r>
        <w:rPr>
          <w:spacing w:val="-3"/>
          <w:sz w:val="22"/>
        </w:rPr>
        <w:t> </w:t>
      </w:r>
      <w:r>
        <w:rPr>
          <w:sz w:val="22"/>
        </w:rPr>
        <w:t>pontja</w:t>
      </w:r>
      <w:r>
        <w:rPr>
          <w:spacing w:val="-7"/>
          <w:sz w:val="22"/>
        </w:rPr>
        <w:t> </w:t>
      </w:r>
      <w:r>
        <w:rPr>
          <w:sz w:val="22"/>
        </w:rPr>
        <w:t>és</w:t>
      </w:r>
      <w:r>
        <w:rPr>
          <w:spacing w:val="-7"/>
          <w:sz w:val="22"/>
        </w:rPr>
        <w:t> </w:t>
      </w:r>
      <w:r>
        <w:rPr>
          <w:sz w:val="22"/>
        </w:rPr>
        <w:t>a nemzeti</w:t>
      </w:r>
      <w:r>
        <w:rPr>
          <w:spacing w:val="-14"/>
          <w:sz w:val="22"/>
        </w:rPr>
        <w:t> </w:t>
      </w:r>
      <w:r>
        <w:rPr>
          <w:sz w:val="22"/>
        </w:rPr>
        <w:t>vagyonról</w:t>
      </w:r>
      <w:r>
        <w:rPr>
          <w:spacing w:val="-14"/>
          <w:sz w:val="22"/>
        </w:rPr>
        <w:t> </w:t>
      </w:r>
      <w:r>
        <w:rPr>
          <w:sz w:val="22"/>
        </w:rPr>
        <w:t>szóló</w:t>
      </w:r>
      <w:r>
        <w:rPr>
          <w:spacing w:val="-14"/>
          <w:sz w:val="22"/>
        </w:rPr>
        <w:t> </w:t>
      </w:r>
      <w:r>
        <w:rPr>
          <w:sz w:val="22"/>
        </w:rPr>
        <w:t>2011.</w:t>
      </w:r>
      <w:r>
        <w:rPr>
          <w:spacing w:val="-13"/>
          <w:sz w:val="22"/>
        </w:rPr>
        <w:t> </w:t>
      </w:r>
      <w:r>
        <w:rPr>
          <w:sz w:val="22"/>
        </w:rPr>
        <w:t>évi</w:t>
      </w:r>
      <w:r>
        <w:rPr>
          <w:spacing w:val="-14"/>
          <w:sz w:val="22"/>
        </w:rPr>
        <w:t> </w:t>
      </w:r>
      <w:r>
        <w:rPr>
          <w:sz w:val="22"/>
        </w:rPr>
        <w:t>CXCVI.</w:t>
      </w:r>
      <w:r>
        <w:rPr>
          <w:spacing w:val="-12"/>
          <w:sz w:val="22"/>
        </w:rPr>
        <w:t> </w:t>
      </w:r>
      <w:r>
        <w:rPr>
          <w:sz w:val="22"/>
        </w:rPr>
        <w:t>törvény</w:t>
      </w:r>
      <w:r>
        <w:rPr>
          <w:spacing w:val="-14"/>
          <w:sz w:val="22"/>
        </w:rPr>
        <w:t> </w:t>
      </w:r>
      <w:r>
        <w:rPr>
          <w:sz w:val="22"/>
        </w:rPr>
        <w:t>(Nvt.)</w:t>
      </w:r>
      <w:r>
        <w:rPr>
          <w:spacing w:val="-12"/>
          <w:sz w:val="22"/>
        </w:rPr>
        <w:t> </w:t>
      </w:r>
      <w:r>
        <w:rPr>
          <w:sz w:val="22"/>
        </w:rPr>
        <w:t>3.</w:t>
      </w:r>
      <w:r>
        <w:rPr>
          <w:spacing w:val="-11"/>
          <w:sz w:val="22"/>
        </w:rPr>
        <w:t> </w:t>
      </w:r>
      <w:r>
        <w:rPr>
          <w:sz w:val="22"/>
        </w:rPr>
        <w:t>§</w:t>
      </w:r>
      <w:r>
        <w:rPr>
          <w:spacing w:val="-14"/>
          <w:sz w:val="22"/>
        </w:rPr>
        <w:t> </w:t>
      </w:r>
      <w:r>
        <w:rPr>
          <w:sz w:val="22"/>
        </w:rPr>
        <w:t>(1)</w:t>
      </w:r>
      <w:r>
        <w:rPr>
          <w:spacing w:val="-14"/>
          <w:sz w:val="22"/>
        </w:rPr>
        <w:t> </w:t>
      </w:r>
      <w:r>
        <w:rPr>
          <w:sz w:val="22"/>
        </w:rPr>
        <w:t>bekezdés</w:t>
      </w:r>
      <w:r>
        <w:rPr>
          <w:spacing w:val="-13"/>
          <w:sz w:val="22"/>
        </w:rPr>
        <w:t> </w:t>
      </w:r>
      <w:r>
        <w:rPr>
          <w:sz w:val="22"/>
        </w:rPr>
        <w:t>1.</w:t>
      </w:r>
      <w:r>
        <w:rPr>
          <w:spacing w:val="-14"/>
          <w:sz w:val="22"/>
        </w:rPr>
        <w:t> </w:t>
      </w:r>
      <w:r>
        <w:rPr>
          <w:sz w:val="22"/>
        </w:rPr>
        <w:t>pontja</w:t>
      </w:r>
      <w:r>
        <w:rPr>
          <w:spacing w:val="-13"/>
          <w:sz w:val="22"/>
        </w:rPr>
        <w:t> </w:t>
      </w:r>
      <w:r>
        <w:rPr>
          <w:sz w:val="22"/>
        </w:rPr>
        <w:t>szerint átlátható szervezetnek minősül;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568" w:val="left" w:leader="none"/>
        </w:tabs>
        <w:spacing w:line="240" w:lineRule="auto" w:before="0" w:after="0"/>
        <w:ind w:left="568" w:right="139" w:hanging="428"/>
        <w:jc w:val="left"/>
        <w:rPr>
          <w:sz w:val="22"/>
        </w:rPr>
      </w:pPr>
      <w:r>
        <w:rPr>
          <w:sz w:val="22"/>
        </w:rPr>
        <w:t>a támogatás tárgya vonatkozásában az általános forgalmi adóról szóló 2007. évi CXXVII. törvény alapján (</w:t>
      </w:r>
      <w:r>
        <w:rPr>
          <w:i/>
          <w:sz w:val="22"/>
        </w:rPr>
        <w:t>megfelelő aláhúzandó</w:t>
      </w:r>
      <w:r>
        <w:rPr>
          <w:sz w:val="22"/>
        </w:rPr>
        <w:t>):</w:t>
      </w:r>
    </w:p>
    <w:p>
      <w:pPr>
        <w:pStyle w:val="ListParagraph"/>
        <w:numPr>
          <w:ilvl w:val="1"/>
          <w:numId w:val="1"/>
        </w:numPr>
        <w:tabs>
          <w:tab w:pos="697" w:val="left" w:leader="none"/>
        </w:tabs>
        <w:spacing w:line="240" w:lineRule="auto" w:before="1" w:after="0"/>
        <w:ind w:left="697" w:right="0" w:hanging="129"/>
        <w:jc w:val="left"/>
        <w:rPr>
          <w:sz w:val="22"/>
        </w:rPr>
      </w:pPr>
      <w:r>
        <w:rPr>
          <w:sz w:val="22"/>
        </w:rPr>
        <w:t>áfa</w:t>
      </w:r>
      <w:r>
        <w:rPr>
          <w:spacing w:val="-4"/>
          <w:sz w:val="22"/>
        </w:rPr>
        <w:t> </w:t>
      </w:r>
      <w:r>
        <w:rPr>
          <w:sz w:val="22"/>
        </w:rPr>
        <w:t>levonásra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jogosult;</w:t>
      </w:r>
    </w:p>
    <w:p>
      <w:pPr>
        <w:pStyle w:val="ListParagraph"/>
        <w:numPr>
          <w:ilvl w:val="1"/>
          <w:numId w:val="1"/>
        </w:numPr>
        <w:tabs>
          <w:tab w:pos="697" w:val="left" w:leader="none"/>
        </w:tabs>
        <w:spacing w:line="240" w:lineRule="auto" w:before="0" w:after="0"/>
        <w:ind w:left="697" w:right="0" w:hanging="129"/>
        <w:jc w:val="left"/>
        <w:rPr>
          <w:sz w:val="22"/>
        </w:rPr>
      </w:pPr>
      <w:r>
        <w:rPr>
          <w:sz w:val="22"/>
        </w:rPr>
        <w:t>áfa</w:t>
      </w:r>
      <w:r>
        <w:rPr>
          <w:spacing w:val="-4"/>
          <w:sz w:val="22"/>
        </w:rPr>
        <w:t> </w:t>
      </w:r>
      <w:r>
        <w:rPr>
          <w:sz w:val="22"/>
        </w:rPr>
        <w:t>levonásra</w:t>
      </w:r>
      <w:r>
        <w:rPr>
          <w:spacing w:val="-3"/>
          <w:sz w:val="22"/>
        </w:rPr>
        <w:t> </w:t>
      </w:r>
      <w:r>
        <w:rPr>
          <w:sz w:val="22"/>
        </w:rPr>
        <w:t>nem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jogosult.</w:t>
      </w:r>
    </w:p>
    <w:p>
      <w:pPr>
        <w:pStyle w:val="BodyText"/>
        <w:spacing w:before="271"/>
        <w:ind w:left="141"/>
      </w:pPr>
      <w:r>
        <w:rPr/>
        <w:t>Kijelentem továbbá, hogy a fent megadott adatok a valóságnak megfelelnek, és az azokban</w:t>
      </w:r>
      <w:r>
        <w:rPr>
          <w:spacing w:val="40"/>
        </w:rPr>
        <w:t> </w:t>
      </w:r>
      <w:r>
        <w:rPr/>
        <w:t>bekövetkező változásokról a támogatót haladéktalanul tájékoztatom.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ind w:left="141"/>
      </w:pPr>
      <w:r>
        <w:rPr/>
        <w:t>Kelt: </w:t>
      </w:r>
      <w:r>
        <w:rPr>
          <w:spacing w:val="-2"/>
        </w:rPr>
        <w:t>……………………………………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ind w:left="6266" w:right="299" w:hanging="254"/>
      </w:pPr>
      <w:r>
        <w:rPr>
          <w:spacing w:val="-2"/>
        </w:rPr>
        <w:t>……………………….. </w:t>
      </w:r>
      <w:r>
        <w:rPr/>
        <w:t>(cégszerű) aláírás</w:t>
      </w:r>
    </w:p>
    <w:sectPr>
      <w:type w:val="continuous"/>
      <w:pgSz w:w="11910" w:h="16840"/>
      <w:pgMar w:top="132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Book Antiqua">
    <w:altName w:val="Book Antiqua"/>
    <w:charset w:val="EE"/>
    <w:family w:val="roman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"/>
      <w:lvlJc w:val="left"/>
      <w:pPr>
        <w:ind w:left="565" w:hanging="425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2"/>
        <w:szCs w:val="22"/>
        <w:lang w:val="hu-HU" w:eastAsia="en-US" w:bidi="ar-SA"/>
      </w:rPr>
    </w:lvl>
    <w:lvl w:ilvl="1">
      <w:start w:val="0"/>
      <w:numFmt w:val="bullet"/>
      <w:lvlText w:val="-"/>
      <w:lvlJc w:val="left"/>
      <w:pPr>
        <w:ind w:left="848" w:hanging="281"/>
      </w:pPr>
      <w:rPr>
        <w:rFonts w:hint="default" w:ascii="Book Antiqua" w:hAnsi="Book Antiqua" w:eastAsia="Book Antiqua" w:cs="Book Antiqua"/>
        <w:b w:val="0"/>
        <w:bCs w:val="0"/>
        <w:i w:val="0"/>
        <w:iCs w:val="0"/>
        <w:spacing w:val="0"/>
        <w:w w:val="100"/>
        <w:sz w:val="22"/>
        <w:szCs w:val="22"/>
        <w:lang w:val="hu-HU" w:eastAsia="en-US" w:bidi="ar-SA"/>
      </w:rPr>
    </w:lvl>
    <w:lvl w:ilvl="2">
      <w:start w:val="0"/>
      <w:numFmt w:val="bullet"/>
      <w:lvlText w:val="•"/>
      <w:lvlJc w:val="left"/>
      <w:pPr>
        <w:ind w:left="840" w:hanging="281"/>
      </w:pPr>
      <w:rPr>
        <w:rFonts w:hint="default"/>
        <w:lang w:val="hu-HU" w:eastAsia="en-US" w:bidi="ar-SA"/>
      </w:rPr>
    </w:lvl>
    <w:lvl w:ilvl="3">
      <w:start w:val="0"/>
      <w:numFmt w:val="bullet"/>
      <w:lvlText w:val="•"/>
      <w:lvlJc w:val="left"/>
      <w:pPr>
        <w:ind w:left="1904" w:hanging="281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2969" w:hanging="281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4033" w:hanging="281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5098" w:hanging="281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6162" w:hanging="281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7227" w:hanging="281"/>
      </w:pPr>
      <w:rPr>
        <w:rFonts w:hint="default"/>
        <w:lang w:val="hu-H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Book Antiqua" w:hAnsi="Book Antiqua" w:eastAsia="Book Antiqua" w:cs="Book Antiqua"/>
      <w:lang w:val="hu-HU" w:eastAsia="en-US" w:bidi="ar-SA"/>
    </w:rPr>
  </w:style>
  <w:style w:styleId="BodyText" w:type="paragraph">
    <w:name w:val="Body Text"/>
    <w:basedOn w:val="Normal"/>
    <w:uiPriority w:val="1"/>
    <w:qFormat/>
    <w:pPr/>
    <w:rPr>
      <w:rFonts w:ascii="Book Antiqua" w:hAnsi="Book Antiqua" w:eastAsia="Book Antiqua" w:cs="Book Antiqua"/>
      <w:sz w:val="22"/>
      <w:szCs w:val="22"/>
      <w:lang w:val="hu-HU" w:eastAsia="en-US" w:bidi="ar-SA"/>
    </w:rPr>
  </w:style>
  <w:style w:styleId="Heading1" w:type="paragraph">
    <w:name w:val="Heading 1"/>
    <w:basedOn w:val="Normal"/>
    <w:uiPriority w:val="1"/>
    <w:qFormat/>
    <w:pPr>
      <w:ind w:right="3"/>
      <w:jc w:val="center"/>
      <w:outlineLvl w:val="1"/>
    </w:pPr>
    <w:rPr>
      <w:rFonts w:ascii="Book Antiqua" w:hAnsi="Book Antiqua" w:eastAsia="Book Antiqua" w:cs="Book Antiqua"/>
      <w:b/>
      <w:bCs/>
      <w:sz w:val="24"/>
      <w:szCs w:val="24"/>
      <w:lang w:val="hu-HU" w:eastAsia="en-US" w:bidi="ar-SA"/>
    </w:rPr>
  </w:style>
  <w:style w:styleId="ListParagraph" w:type="paragraph">
    <w:name w:val="List Paragraph"/>
    <w:basedOn w:val="Normal"/>
    <w:uiPriority w:val="1"/>
    <w:qFormat/>
    <w:pPr>
      <w:ind w:left="568" w:hanging="428"/>
      <w:jc w:val="both"/>
    </w:pPr>
    <w:rPr>
      <w:rFonts w:ascii="Book Antiqua" w:hAnsi="Book Antiqua" w:eastAsia="Book Antiqua" w:cs="Book Antiqua"/>
      <w:lang w:val="hu-H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hu-H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Rázsi Miklós</dc:creator>
  <dc:title>Microsoft Word - 2.sz.melleklet</dc:title>
  <dcterms:created xsi:type="dcterms:W3CDTF">2026-10-05T08:52:01Z</dcterms:created>
  <dcterms:modified xsi:type="dcterms:W3CDTF">2026-10-05T08:52:01Z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2025-01-16T00:00:00Z</vt:filetime>
  </property>
  <property fmtid="{D5CDD505-2E9C-101B-9397-08002B2CF9AE}" pid="3" name="LastSaved">
    <vt:filetime>2026-10-05T00:00:00Z</vt:filetime>
  </property>
  <property fmtid="{D5CDD505-2E9C-101B-9397-08002B2CF9AE}" pid="4" name="Producer">
    <vt:lpwstr>Microsoft: Print To PDF</vt:lpwstr>
  </property>
</Properties>
</file>