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9"/>
        <w:ind w:left="0" w:right="139" w:firstLine="0"/>
        <w:jc w:val="right"/>
        <w:rPr>
          <w:b/>
          <w:sz w:val="22"/>
        </w:rPr>
      </w:pPr>
      <w:r>
        <w:rPr>
          <w:b/>
          <w:sz w:val="22"/>
          <w:u w:val="single"/>
        </w:rPr>
        <w:t>3. sz.</w:t>
      </w:r>
      <w:r>
        <w:rPr>
          <w:b/>
          <w:spacing w:val="1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melléklet</w:t>
      </w:r>
    </w:p>
    <w:p>
      <w:pPr>
        <w:pStyle w:val="BodyText"/>
        <w:spacing w:before="255"/>
        <w:rPr>
          <w:b/>
          <w:i w:val="0"/>
          <w:sz w:val="24"/>
        </w:rPr>
      </w:pPr>
    </w:p>
    <w:p>
      <w:pPr>
        <w:pStyle w:val="Heading1"/>
      </w:pPr>
      <w:r>
        <w:rPr>
          <w:spacing w:val="-2"/>
        </w:rPr>
        <w:t>Nyilatkozat</w:t>
      </w:r>
    </w:p>
    <w:p>
      <w:pPr>
        <w:spacing w:before="275"/>
        <w:ind w:left="2" w:right="5" w:firstLine="0"/>
        <w:jc w:val="center"/>
        <w:rPr>
          <w:i/>
          <w:sz w:val="22"/>
        </w:rPr>
      </w:pPr>
      <w:r>
        <w:rPr>
          <w:i/>
          <w:sz w:val="22"/>
        </w:rPr>
        <w:t>Költségvetési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támogatás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nyújtásának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az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egyesülési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jogról,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közhasznú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jogállásról,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valamint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civil</w:t>
      </w:r>
      <w:r>
        <w:rPr>
          <w:i/>
          <w:sz w:val="22"/>
        </w:rPr>
        <w:t> szervezetek működéséről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és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támogatásáról szóló 2011. évi CLXXV. törvény 75. §-a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szerinti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feltétel teljesítésének fennállásáról vagy hiányáról</w:t>
      </w: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Heading2"/>
        <w:tabs>
          <w:tab w:pos="8214" w:val="left" w:leader="dot"/>
        </w:tabs>
        <w:spacing w:line="480" w:lineRule="auto" w:before="1"/>
        <w:ind w:right="142" w:hanging="10"/>
        <w:jc w:val="center"/>
      </w:pPr>
      <w:r>
        <w:rPr/>
        <w:t>Alulírott</w:t>
      </w:r>
      <w:r>
        <w:rPr>
          <w:spacing w:val="-3"/>
        </w:rPr>
        <w:t> </w:t>
      </w:r>
      <w:r>
        <w:rPr/>
        <w:t>…………………………….……,</w:t>
      </w:r>
      <w:r>
        <w:rPr>
          <w:spacing w:val="-3"/>
        </w:rPr>
        <w:t> </w:t>
      </w:r>
      <w:r>
        <w:rPr/>
        <w:t>mint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…………………….…………………………...…. (szervezet</w:t>
      </w:r>
      <w:r>
        <w:rPr>
          <w:spacing w:val="70"/>
        </w:rPr>
        <w:t> </w:t>
      </w:r>
      <w:r>
        <w:rPr>
          <w:spacing w:val="-2"/>
        </w:rPr>
        <w:t>neve)</w:t>
      </w:r>
      <w:r>
        <w:rPr>
          <w:rFonts w:ascii="Times New Roman" w:hAnsi="Times New Roman"/>
        </w:rPr>
        <w:tab/>
      </w:r>
      <w:r>
        <w:rPr>
          <w:spacing w:val="-2"/>
        </w:rPr>
        <w:t>(székhely)</w:t>
      </w:r>
    </w:p>
    <w:p>
      <w:pPr>
        <w:spacing w:before="0"/>
        <w:ind w:left="141" w:right="137" w:firstLine="0"/>
        <w:jc w:val="both"/>
        <w:rPr>
          <w:sz w:val="22"/>
        </w:rPr>
      </w:pPr>
      <w:r>
        <w:rPr>
          <w:sz w:val="22"/>
        </w:rPr>
        <w:t>…………………………. (adószám, vagy adóazonosító jel)</w:t>
      </w:r>
      <w:r>
        <w:rPr>
          <w:spacing w:val="40"/>
          <w:sz w:val="22"/>
        </w:rPr>
        <w:t> </w:t>
      </w:r>
      <w:r>
        <w:rPr>
          <w:sz w:val="22"/>
        </w:rPr>
        <w:t>képviselője büntetőjogi felelősségem</w:t>
      </w:r>
      <w:r>
        <w:rPr>
          <w:spacing w:val="-14"/>
          <w:sz w:val="22"/>
        </w:rPr>
        <w:t> </w:t>
      </w:r>
      <w:r>
        <w:rPr>
          <w:sz w:val="22"/>
        </w:rPr>
        <w:t>tudatában</w:t>
      </w:r>
      <w:r>
        <w:rPr>
          <w:spacing w:val="-14"/>
          <w:sz w:val="22"/>
        </w:rPr>
        <w:t> </w:t>
      </w:r>
      <w:r>
        <w:rPr>
          <w:sz w:val="22"/>
        </w:rPr>
        <w:t>kijelentem,</w:t>
      </w:r>
      <w:r>
        <w:rPr>
          <w:spacing w:val="-14"/>
          <w:sz w:val="22"/>
        </w:rPr>
        <w:t> </w:t>
      </w:r>
      <w:r>
        <w:rPr>
          <w:sz w:val="22"/>
        </w:rPr>
        <w:t>hogy</w:t>
      </w:r>
      <w:r>
        <w:rPr>
          <w:spacing w:val="-13"/>
          <w:sz w:val="22"/>
        </w:rPr>
        <w:t> </w:t>
      </w:r>
      <w:r>
        <w:rPr>
          <w:sz w:val="22"/>
        </w:rPr>
        <w:t>az</w:t>
      </w:r>
      <w:r>
        <w:rPr>
          <w:spacing w:val="-14"/>
          <w:sz w:val="22"/>
        </w:rPr>
        <w:t> </w:t>
      </w:r>
      <w:r>
        <w:rPr>
          <w:sz w:val="22"/>
        </w:rPr>
        <w:t>általam</w:t>
      </w:r>
      <w:r>
        <w:rPr>
          <w:spacing w:val="-14"/>
          <w:sz w:val="22"/>
        </w:rPr>
        <w:t> </w:t>
      </w:r>
      <w:r>
        <w:rPr>
          <w:sz w:val="22"/>
        </w:rPr>
        <w:t>képviselt</w:t>
      </w:r>
      <w:r>
        <w:rPr>
          <w:spacing w:val="-14"/>
          <w:sz w:val="22"/>
        </w:rPr>
        <w:t> </w:t>
      </w:r>
      <w:r>
        <w:rPr>
          <w:sz w:val="22"/>
        </w:rPr>
        <w:t>civil</w:t>
      </w:r>
      <w:r>
        <w:rPr>
          <w:spacing w:val="-13"/>
          <w:sz w:val="22"/>
        </w:rPr>
        <w:t> </w:t>
      </w:r>
      <w:r>
        <w:rPr>
          <w:sz w:val="22"/>
        </w:rPr>
        <w:t>szervezet</w:t>
      </w:r>
      <w:r>
        <w:rPr>
          <w:spacing w:val="-14"/>
          <w:sz w:val="22"/>
        </w:rPr>
        <w:t> </w:t>
      </w:r>
      <w:r>
        <w:rPr>
          <w:i/>
          <w:sz w:val="22"/>
        </w:rPr>
        <w:t>az</w:t>
      </w:r>
      <w:r>
        <w:rPr>
          <w:i/>
          <w:spacing w:val="-14"/>
          <w:sz w:val="22"/>
        </w:rPr>
        <w:t> </w:t>
      </w:r>
      <w:r>
        <w:rPr>
          <w:i/>
          <w:sz w:val="22"/>
        </w:rPr>
        <w:t>egyesülési</w:t>
      </w:r>
      <w:r>
        <w:rPr>
          <w:i/>
          <w:spacing w:val="-14"/>
          <w:sz w:val="22"/>
        </w:rPr>
        <w:t> </w:t>
      </w:r>
      <w:r>
        <w:rPr>
          <w:i/>
          <w:sz w:val="22"/>
        </w:rPr>
        <w:t>jogról,</w:t>
      </w:r>
      <w:r>
        <w:rPr>
          <w:i/>
          <w:sz w:val="22"/>
        </w:rPr>
        <w:t> a közhasznú jogállásról, valamint a civil szervezetek működéséről és támogatásáról szóló 2011. évi CLXXV. törvény </w:t>
      </w:r>
      <w:r>
        <w:rPr>
          <w:sz w:val="22"/>
        </w:rPr>
        <w:t>75. § (1) bekezdésében foglalt feltételnek megfelelően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271" w:after="0"/>
        <w:ind w:left="860" w:right="0" w:hanging="292"/>
        <w:jc w:val="left"/>
        <w:rPr>
          <w:i/>
          <w:sz w:val="22"/>
        </w:rPr>
      </w:pP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30.</w:t>
      </w:r>
      <w:r>
        <w:rPr>
          <w:spacing w:val="-3"/>
          <w:sz w:val="22"/>
        </w:rPr>
        <w:t> </w:t>
      </w:r>
      <w:r>
        <w:rPr>
          <w:sz w:val="22"/>
        </w:rPr>
        <w:t>§</w:t>
      </w:r>
      <w:r>
        <w:rPr>
          <w:position w:val="5"/>
          <w:sz w:val="14"/>
        </w:rPr>
        <w:t>1</w:t>
      </w:r>
      <w:r>
        <w:rPr>
          <w:spacing w:val="17"/>
          <w:position w:val="5"/>
          <w:sz w:val="14"/>
        </w:rPr>
        <w:t> </w:t>
      </w:r>
      <w:r>
        <w:rPr>
          <w:sz w:val="22"/>
        </w:rPr>
        <w:t>szerint</w:t>
      </w:r>
      <w:r>
        <w:rPr>
          <w:spacing w:val="-4"/>
          <w:sz w:val="22"/>
        </w:rPr>
        <w:t> </w:t>
      </w:r>
      <w:r>
        <w:rPr>
          <w:sz w:val="22"/>
        </w:rPr>
        <w:t>letétbe</w:t>
      </w:r>
      <w:r>
        <w:rPr>
          <w:spacing w:val="-5"/>
          <w:sz w:val="22"/>
        </w:rPr>
        <w:t> </w:t>
      </w:r>
      <w:r>
        <w:rPr>
          <w:sz w:val="22"/>
        </w:rPr>
        <w:t>helyezte</w:t>
      </w:r>
      <w:r>
        <w:rPr>
          <w:spacing w:val="-2"/>
          <w:sz w:val="22"/>
        </w:rPr>
        <w:t> </w:t>
      </w:r>
      <w:r>
        <w:rPr>
          <w:sz w:val="22"/>
        </w:rPr>
        <w:t>beszámolóját</w:t>
      </w:r>
      <w:r>
        <w:rPr>
          <w:spacing w:val="-3"/>
          <w:sz w:val="22"/>
        </w:rPr>
        <w:t> </w:t>
      </w:r>
      <w:r>
        <w:rPr>
          <w:i/>
          <w:sz w:val="22"/>
        </w:rPr>
        <w:t>(a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megfelelőt</w:t>
      </w:r>
      <w:r>
        <w:rPr>
          <w:i/>
          <w:spacing w:val="-3"/>
          <w:sz w:val="22"/>
        </w:rPr>
        <w:t> </w:t>
      </w:r>
      <w:r>
        <w:rPr>
          <w:i/>
          <w:spacing w:val="-2"/>
          <w:sz w:val="22"/>
        </w:rPr>
        <w:t>aláhúzni)</w:t>
      </w:r>
    </w:p>
    <w:p>
      <w:pPr>
        <w:pStyle w:val="ListParagraph"/>
        <w:numPr>
          <w:ilvl w:val="0"/>
          <w:numId w:val="1"/>
        </w:numPr>
        <w:tabs>
          <w:tab w:pos="848" w:val="left" w:leader="none"/>
        </w:tabs>
        <w:spacing w:line="240" w:lineRule="auto" w:before="0" w:after="0"/>
        <w:ind w:left="848" w:right="0" w:hanging="280"/>
        <w:jc w:val="left"/>
        <w:rPr>
          <w:i/>
          <w:sz w:val="22"/>
        </w:rPr>
      </w:pP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30.</w:t>
      </w:r>
      <w:r>
        <w:rPr>
          <w:spacing w:val="-2"/>
          <w:sz w:val="22"/>
        </w:rPr>
        <w:t> </w:t>
      </w:r>
      <w:r>
        <w:rPr>
          <w:sz w:val="22"/>
        </w:rPr>
        <w:t>§</w:t>
      </w:r>
      <w:r>
        <w:rPr>
          <w:position w:val="5"/>
          <w:sz w:val="14"/>
        </w:rPr>
        <w:t>1</w:t>
      </w:r>
      <w:r>
        <w:rPr>
          <w:spacing w:val="18"/>
          <w:position w:val="5"/>
          <w:sz w:val="14"/>
        </w:rPr>
        <w:t> </w:t>
      </w:r>
      <w:r>
        <w:rPr>
          <w:sz w:val="22"/>
        </w:rPr>
        <w:t>szerint</w:t>
      </w:r>
      <w:r>
        <w:rPr>
          <w:spacing w:val="-3"/>
          <w:sz w:val="22"/>
        </w:rPr>
        <w:t> </w:t>
      </w:r>
      <w:r>
        <w:rPr>
          <w:sz w:val="22"/>
        </w:rPr>
        <w:t>nem</w:t>
      </w:r>
      <w:r>
        <w:rPr>
          <w:spacing w:val="-2"/>
          <w:sz w:val="22"/>
        </w:rPr>
        <w:t> </w:t>
      </w:r>
      <w:r>
        <w:rPr>
          <w:sz w:val="22"/>
        </w:rPr>
        <w:t>történt</w:t>
      </w:r>
      <w:r>
        <w:rPr>
          <w:spacing w:val="-4"/>
          <w:sz w:val="22"/>
        </w:rPr>
        <w:t> </w:t>
      </w:r>
      <w:r>
        <w:rPr>
          <w:sz w:val="22"/>
        </w:rPr>
        <w:t>meg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beszámoló</w:t>
      </w:r>
      <w:r>
        <w:rPr>
          <w:spacing w:val="-4"/>
          <w:sz w:val="22"/>
        </w:rPr>
        <w:t> </w:t>
      </w:r>
      <w:r>
        <w:rPr>
          <w:sz w:val="22"/>
        </w:rPr>
        <w:t>letétbe</w:t>
      </w:r>
      <w:r>
        <w:rPr>
          <w:spacing w:val="-1"/>
          <w:sz w:val="22"/>
        </w:rPr>
        <w:t> </w:t>
      </w:r>
      <w:r>
        <w:rPr>
          <w:sz w:val="22"/>
        </w:rPr>
        <w:t>helyezése</w:t>
      </w:r>
      <w:r>
        <w:rPr>
          <w:spacing w:val="-5"/>
          <w:sz w:val="22"/>
        </w:rPr>
        <w:t> </w:t>
      </w:r>
      <w:r>
        <w:rPr>
          <w:i/>
          <w:sz w:val="22"/>
        </w:rPr>
        <w:t>(a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megfelelőt</w:t>
      </w:r>
      <w:r>
        <w:rPr>
          <w:i/>
          <w:spacing w:val="-2"/>
          <w:sz w:val="22"/>
        </w:rPr>
        <w:t> aláhúzni)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17"/>
        <w:rPr>
          <w:i/>
          <w:sz w:val="22"/>
        </w:rPr>
      </w:pPr>
    </w:p>
    <w:p>
      <w:pPr>
        <w:pStyle w:val="Heading2"/>
        <w:ind w:firstLine="0"/>
        <w:jc w:val="both"/>
      </w:pPr>
      <w:r>
        <w:rPr/>
        <w:t>Kelt: </w:t>
      </w:r>
      <w:r>
        <w:rPr>
          <w:spacing w:val="-2"/>
        </w:rPr>
        <w:t>…………………….……………………..</w:t>
      </w:r>
    </w:p>
    <w:p>
      <w:pPr>
        <w:pStyle w:val="BodyText"/>
        <w:rPr>
          <w:i w:val="0"/>
          <w:sz w:val="22"/>
        </w:rPr>
      </w:pPr>
    </w:p>
    <w:p>
      <w:pPr>
        <w:pStyle w:val="BodyText"/>
        <w:rPr>
          <w:i w:val="0"/>
          <w:sz w:val="22"/>
        </w:rPr>
      </w:pPr>
    </w:p>
    <w:p>
      <w:pPr>
        <w:pStyle w:val="BodyText"/>
        <w:spacing w:before="1"/>
        <w:rPr>
          <w:i w:val="0"/>
          <w:sz w:val="22"/>
        </w:rPr>
      </w:pPr>
    </w:p>
    <w:p>
      <w:pPr>
        <w:spacing w:before="0"/>
        <w:ind w:left="6100" w:right="138" w:hanging="475"/>
        <w:jc w:val="left"/>
        <w:rPr>
          <w:sz w:val="22"/>
        </w:rPr>
      </w:pPr>
      <w:r>
        <w:rPr>
          <w:spacing w:val="-2"/>
          <w:sz w:val="22"/>
        </w:rPr>
        <w:t>……………………………… </w:t>
      </w:r>
      <w:r>
        <w:rPr>
          <w:sz w:val="22"/>
        </w:rPr>
        <w:t>(cégszerű) aláírás</w: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19"/>
        <w:rPr>
          <w:i w:val="0"/>
          <w:sz w:val="20"/>
        </w:rPr>
      </w:pPr>
      <w:r>
        <w:rPr>
          <w:i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899160</wp:posOffset>
                </wp:positionH>
                <wp:positionV relativeFrom="paragraph">
                  <wp:posOffset>249129</wp:posOffset>
                </wp:positionV>
                <wp:extent cx="1828800" cy="762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799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828799" y="0"/>
                              </a:lnTo>
                              <a:lnTo>
                                <a:pt x="1828799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800003pt;margin-top:19.616497pt;width:143.999994pt;height:.599991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08"/>
        <w:ind w:left="292" w:right="138" w:hanging="10"/>
        <w:jc w:val="left"/>
        <w:rPr>
          <w:i/>
          <w:sz w:val="16"/>
        </w:rPr>
      </w:pPr>
      <w:r>
        <w:rPr>
          <w:i/>
          <w:position w:val="4"/>
          <w:sz w:val="10"/>
        </w:rPr>
        <w:t>1</w:t>
      </w:r>
      <w:r>
        <w:rPr>
          <w:i/>
          <w:spacing w:val="17"/>
          <w:position w:val="4"/>
          <w:sz w:val="10"/>
        </w:rPr>
        <w:t> </w:t>
      </w:r>
      <w:r>
        <w:rPr>
          <w:b/>
          <w:i/>
          <w:sz w:val="16"/>
        </w:rPr>
        <w:t>75. § </w:t>
      </w:r>
      <w:r>
        <w:rPr>
          <w:i/>
          <w:sz w:val="16"/>
        </w:rPr>
        <w:t>(1) </w:t>
      </w:r>
      <w:r>
        <w:rPr>
          <w:b/>
          <w:i/>
          <w:sz w:val="16"/>
        </w:rPr>
        <w:t>2012. január 1. napját követően csak olyan civil szervezet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kaphat költségvetési támogatást </w:t>
      </w:r>
      <w:r>
        <w:rPr>
          <w:i/>
          <w:sz w:val="16"/>
        </w:rPr>
        <w:t>-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ide nem értve az 54.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§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szerinti támogatásokat -, amely a 30. § szerint letétbe helyezte beszámolóját.</w:t>
      </w:r>
    </w:p>
    <w:p>
      <w:pPr>
        <w:pStyle w:val="BodyText"/>
        <w:spacing w:before="2"/>
        <w:rPr>
          <w:i/>
        </w:rPr>
      </w:pPr>
    </w:p>
    <w:p>
      <w:pPr>
        <w:pStyle w:val="BodyText"/>
        <w:ind w:left="292" w:right="289" w:firstLine="240"/>
        <w:jc w:val="both"/>
      </w:pPr>
      <w:r>
        <w:rPr>
          <w:b/>
          <w:i/>
        </w:rPr>
        <w:t>30. §</w:t>
      </w:r>
      <w:r>
        <w:rPr>
          <w:b/>
          <w:i/>
          <w:spacing w:val="-2"/>
        </w:rPr>
        <w:t> </w:t>
      </w:r>
      <w:r>
        <w:rPr>
          <w:i/>
        </w:rPr>
        <w:t>(1) A</w:t>
      </w:r>
      <w:r>
        <w:rPr>
          <w:i/>
          <w:spacing w:val="-3"/>
        </w:rPr>
        <w:t> </w:t>
      </w:r>
      <w:r>
        <w:rPr>
          <w:i/>
        </w:rPr>
        <w:t>civil szervezet</w:t>
      </w:r>
      <w:r>
        <w:rPr>
          <w:i/>
          <w:spacing w:val="-1"/>
        </w:rPr>
        <w:t> </w:t>
      </w:r>
      <w:r>
        <w:rPr>
          <w:i/>
        </w:rPr>
        <w:t>köteles</w:t>
      </w:r>
      <w:r>
        <w:rPr>
          <w:i/>
          <w:spacing w:val="-2"/>
        </w:rPr>
        <w:t> </w:t>
      </w:r>
      <w:r>
        <w:rPr>
          <w:i/>
        </w:rPr>
        <w:t>a</w:t>
      </w:r>
      <w:r>
        <w:rPr>
          <w:i/>
          <w:spacing w:val="-1"/>
        </w:rPr>
        <w:t> </w:t>
      </w:r>
      <w:r>
        <w:rPr>
          <w:i/>
        </w:rPr>
        <w:t>jóváhagyásra</w:t>
      </w:r>
      <w:r>
        <w:rPr>
          <w:i/>
          <w:spacing w:val="-1"/>
        </w:rPr>
        <w:t> </w:t>
      </w:r>
      <w:r>
        <w:rPr>
          <w:i/>
        </w:rPr>
        <w:t>jogosult</w:t>
      </w:r>
      <w:r>
        <w:rPr>
          <w:i/>
          <w:spacing w:val="-1"/>
        </w:rPr>
        <w:t> </w:t>
      </w:r>
      <w:r>
        <w:rPr>
          <w:i/>
        </w:rPr>
        <w:t>testület által elfogadott beszámolóját,</w:t>
      </w:r>
      <w:r>
        <w:rPr>
          <w:i/>
          <w:spacing w:val="-2"/>
        </w:rPr>
        <w:t> </w:t>
      </w:r>
      <w:r>
        <w:rPr>
          <w:i/>
        </w:rPr>
        <w:t>valamint</w:t>
      </w:r>
      <w:r>
        <w:rPr>
          <w:i/>
          <w:spacing w:val="-1"/>
        </w:rPr>
        <w:t> </w:t>
      </w:r>
      <w:r>
        <w:rPr>
          <w:i/>
        </w:rPr>
        <w:t>közhasznúsági mellékletét</w:t>
      </w:r>
      <w:r>
        <w:rPr>
          <w:i/>
          <w:spacing w:val="-6"/>
        </w:rPr>
        <w:t> </w:t>
      </w:r>
      <w:r>
        <w:rPr>
          <w:i/>
        </w:rPr>
        <w:t>-</w:t>
      </w:r>
      <w:r>
        <w:rPr>
          <w:spacing w:val="40"/>
        </w:rPr>
        <w:t> </w:t>
      </w:r>
      <w:r>
        <w:rPr/>
        <w:t>kötelező</w:t>
      </w:r>
      <w:r>
        <w:rPr>
          <w:spacing w:val="-10"/>
        </w:rPr>
        <w:t> </w:t>
      </w:r>
      <w:r>
        <w:rPr/>
        <w:t>könyvvizsgálat</w:t>
      </w:r>
      <w:r>
        <w:rPr>
          <w:spacing w:val="-10"/>
        </w:rPr>
        <w:t> </w:t>
      </w:r>
      <w:r>
        <w:rPr/>
        <w:t>esetén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könyvvizsgálói</w:t>
      </w:r>
      <w:r>
        <w:rPr>
          <w:spacing w:val="-10"/>
        </w:rPr>
        <w:t> </w:t>
      </w:r>
      <w:r>
        <w:rPr/>
        <w:t>záradékot</w:t>
      </w:r>
      <w:r>
        <w:rPr>
          <w:spacing w:val="-10"/>
        </w:rPr>
        <w:t> </w:t>
      </w:r>
      <w:r>
        <w:rPr/>
        <w:t>vagy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záradék</w:t>
      </w:r>
      <w:r>
        <w:rPr>
          <w:spacing w:val="-10"/>
        </w:rPr>
        <w:t> </w:t>
      </w:r>
      <w:r>
        <w:rPr/>
        <w:t>megadásának</w:t>
      </w:r>
      <w:r>
        <w:rPr>
          <w:spacing w:val="-10"/>
        </w:rPr>
        <w:t> </w:t>
      </w:r>
      <w:r>
        <w:rPr/>
        <w:t>elutasítását</w:t>
      </w:r>
      <w:r>
        <w:rPr>
          <w:spacing w:val="-10"/>
        </w:rPr>
        <w:t> </w:t>
      </w:r>
      <w:r>
        <w:rPr/>
        <w:t>is</w:t>
      </w:r>
      <w:r>
        <w:rPr>
          <w:spacing w:val="-10"/>
        </w:rPr>
        <w:t> </w:t>
      </w:r>
      <w:r>
        <w:rPr/>
        <w:t>tartalmazó</w:t>
      </w:r>
      <w:r>
        <w:rPr>
          <w:spacing w:val="-10"/>
        </w:rPr>
        <w:t> </w:t>
      </w:r>
      <w:r>
        <w:rPr/>
        <w:t>független</w:t>
      </w:r>
      <w:r>
        <w:rPr>
          <w:spacing w:val="-10"/>
        </w:rPr>
        <w:t> </w:t>
      </w:r>
      <w:r>
        <w:rPr/>
        <w:t>könyvvizsgálói</w:t>
      </w:r>
      <w:r>
        <w:rPr>
          <w:spacing w:val="40"/>
        </w:rPr>
        <w:t> </w:t>
      </w:r>
      <w:r>
        <w:rPr/>
        <w:t>jelentéssel együtt - az adott üzleti év mérlegfordulónapját követő ötödik hónap utolsó napjáig letétbe helyezni és közzétenni, kötelező</w:t>
      </w:r>
      <w:r>
        <w:rPr>
          <w:spacing w:val="40"/>
        </w:rPr>
        <w:t> </w:t>
      </w:r>
      <w:r>
        <w:rPr/>
        <w:t>könyvvizsgálat esetén ugyanolyan formában és tartalommal, mint amelynek alapján a könyvvizsgáló a beszámolót felülvizsgálta.</w:t>
      </w:r>
    </w:p>
    <w:p>
      <w:pPr>
        <w:pStyle w:val="ListParagraph"/>
        <w:numPr>
          <w:ilvl w:val="0"/>
          <w:numId w:val="2"/>
        </w:numPr>
        <w:tabs>
          <w:tab w:pos="773" w:val="left" w:leader="none"/>
        </w:tabs>
        <w:spacing w:line="240" w:lineRule="auto" w:before="0" w:after="0"/>
        <w:ind w:left="292" w:right="288" w:firstLine="240"/>
        <w:jc w:val="both"/>
        <w:rPr>
          <w:i/>
          <w:sz w:val="16"/>
        </w:rPr>
      </w:pPr>
      <w:r>
        <w:rPr>
          <w:i/>
          <w:sz w:val="16"/>
        </w:rPr>
        <w:t>A civil szervezet az (1) bekezdés szerinti kötelezettségének a civil szervezetek bírósági nyilvántartásáról és az ezzel összefüggő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eljárási szabályokról szóló törvényben meghatározott módon tesz eleget.</w:t>
      </w:r>
    </w:p>
    <w:p>
      <w:pPr>
        <w:pStyle w:val="ListParagraph"/>
        <w:numPr>
          <w:ilvl w:val="0"/>
          <w:numId w:val="2"/>
        </w:numPr>
        <w:tabs>
          <w:tab w:pos="788" w:val="left" w:leader="none"/>
        </w:tabs>
        <w:spacing w:line="240" w:lineRule="auto" w:before="0" w:after="0"/>
        <w:ind w:left="292" w:right="290" w:firstLine="240"/>
        <w:jc w:val="both"/>
        <w:rPr>
          <w:i/>
          <w:sz w:val="16"/>
        </w:rPr>
      </w:pPr>
      <w:r>
        <w:rPr>
          <w:i/>
          <w:sz w:val="16"/>
        </w:rPr>
        <w:t>A letétbe helyezett beszámolót, valamint közhasznúsági mellékletet a civil szervezetek bírósági nyilvántartásáról és az ezzel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összefüggő eljárási szabályokról szóló törvényben meghatározott módon kell közzétenni, valamint adatainak lekérdezését a Civil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Információs Portál számára lehetővé kell tenni.</w:t>
      </w:r>
    </w:p>
    <w:p>
      <w:pPr>
        <w:pStyle w:val="ListParagraph"/>
        <w:numPr>
          <w:ilvl w:val="0"/>
          <w:numId w:val="2"/>
        </w:numPr>
        <w:tabs>
          <w:tab w:pos="759" w:val="left" w:leader="none"/>
        </w:tabs>
        <w:spacing w:line="240" w:lineRule="auto" w:before="0" w:after="0"/>
        <w:ind w:left="292" w:right="286" w:firstLine="240"/>
        <w:jc w:val="both"/>
        <w:rPr>
          <w:i/>
          <w:sz w:val="16"/>
        </w:rPr>
      </w:pPr>
      <w:r>
        <w:rPr>
          <w:i/>
          <w:sz w:val="16"/>
        </w:rPr>
        <w:t>Ha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a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civil szervezet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saját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honlappal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rendelkezik,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a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közzétételi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kötelezettség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kiterjed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a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beszámoló,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valamint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közhasznúsági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melléklet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saját honlapon történő elhelyezésére is. A civil szervezet a saját honlapon közzétett adatok folyamatos megtekinthetőségét legalább a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közzétételt követő második üzleti évre vonatkozó adatok közzétételéig biztosítja.</w:t>
      </w:r>
    </w:p>
    <w:p>
      <w:pPr>
        <w:pStyle w:val="ListParagraph"/>
        <w:numPr>
          <w:ilvl w:val="0"/>
          <w:numId w:val="2"/>
        </w:numPr>
        <w:tabs>
          <w:tab w:pos="783" w:val="left" w:leader="none"/>
        </w:tabs>
        <w:spacing w:line="240" w:lineRule="auto" w:before="0" w:after="0"/>
        <w:ind w:left="292" w:right="290" w:firstLine="240"/>
        <w:jc w:val="both"/>
        <w:rPr>
          <w:i/>
          <w:sz w:val="16"/>
        </w:rPr>
      </w:pPr>
      <w:r>
        <w:rPr>
          <w:i/>
          <w:sz w:val="16"/>
        </w:rPr>
        <w:t>Ha a civil szervezet a beszámolóval, valamint közhasznúsági melléklettel kapcsolatos (1)-(3) bekezdés szerinti kötelezettségét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elmulasztja és azt egy éven belül nem pótolja, a bíróság törvényességi ellenőrzési eljárás lefolytatása céljából értesíti az ügyészséget.</w:t>
      </w:r>
    </w:p>
    <w:p>
      <w:pPr>
        <w:pStyle w:val="ListParagraph"/>
        <w:numPr>
          <w:ilvl w:val="0"/>
          <w:numId w:val="2"/>
        </w:numPr>
        <w:tabs>
          <w:tab w:pos="791" w:val="left" w:leader="none"/>
        </w:tabs>
        <w:spacing w:line="240" w:lineRule="auto" w:before="0" w:after="0"/>
        <w:ind w:left="292" w:right="289" w:firstLine="240"/>
        <w:jc w:val="both"/>
        <w:rPr>
          <w:i/>
          <w:sz w:val="16"/>
        </w:rPr>
      </w:pPr>
      <w:r>
        <w:rPr>
          <w:i/>
          <w:sz w:val="16"/>
        </w:rPr>
        <w:t>A civil szervezet beszámolójára egyebekben a számvitelről szóló törvény, valamint az annak felhatalmazása alapján kiadott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kormányrendelet előírásait kell alkalmazni.</w:t>
      </w:r>
    </w:p>
    <w:sectPr>
      <w:type w:val="continuous"/>
      <w:pgSz w:w="11910" w:h="16840"/>
      <w:pgMar w:top="132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Book Antiqua">
    <w:altName w:val="Book Antiqua"/>
    <w:charset w:val="EE"/>
    <w:family w:val="roman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2"/>
      <w:numFmt w:val="decimal"/>
      <w:lvlText w:val="(%1)"/>
      <w:lvlJc w:val="left"/>
      <w:pPr>
        <w:ind w:left="292" w:hanging="243"/>
        <w:jc w:val="left"/>
      </w:pPr>
      <w:rPr>
        <w:rFonts w:hint="default" w:ascii="Book Antiqua" w:hAnsi="Book Antiqua" w:eastAsia="Book Antiqua" w:cs="Book Antiqua"/>
        <w:b w:val="0"/>
        <w:bCs w:val="0"/>
        <w:i/>
        <w:iCs/>
        <w:spacing w:val="0"/>
        <w:w w:val="100"/>
        <w:sz w:val="16"/>
        <w:szCs w:val="16"/>
        <w:lang w:val="hu-HU" w:eastAsia="en-US" w:bidi="ar-SA"/>
      </w:rPr>
    </w:lvl>
    <w:lvl w:ilvl="1">
      <w:start w:val="0"/>
      <w:numFmt w:val="bullet"/>
      <w:lvlText w:val="•"/>
      <w:lvlJc w:val="left"/>
      <w:pPr>
        <w:ind w:left="1205" w:hanging="243"/>
      </w:pPr>
      <w:rPr>
        <w:rFonts w:hint="default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111" w:hanging="243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016" w:hanging="243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3922" w:hanging="243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4828" w:hanging="243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733" w:hanging="243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639" w:hanging="243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545" w:hanging="243"/>
      </w:pPr>
      <w:rPr>
        <w:rFonts w:hint="default"/>
        <w:lang w:val="hu-H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861" w:hanging="293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hu-HU" w:eastAsia="en-US" w:bidi="ar-SA"/>
      </w:rPr>
    </w:lvl>
    <w:lvl w:ilvl="1">
      <w:start w:val="0"/>
      <w:numFmt w:val="bullet"/>
      <w:lvlText w:val="•"/>
      <w:lvlJc w:val="left"/>
      <w:pPr>
        <w:ind w:left="1709" w:hanging="293"/>
      </w:pPr>
      <w:rPr>
        <w:rFonts w:hint="default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559" w:hanging="293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408" w:hanging="293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4258" w:hanging="293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5108" w:hanging="293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957" w:hanging="293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807" w:hanging="293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657" w:hanging="293"/>
      </w:pPr>
      <w:rPr>
        <w:rFonts w:hint="default"/>
        <w:lang w:val="hu-H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Book Antiqua" w:hAnsi="Book Antiqua" w:eastAsia="Book Antiqua" w:cs="Book Antiqua"/>
      <w:lang w:val="hu-HU" w:eastAsia="en-US" w:bidi="ar-SA"/>
    </w:rPr>
  </w:style>
  <w:style w:styleId="BodyText" w:type="paragraph">
    <w:name w:val="Body Text"/>
    <w:basedOn w:val="Normal"/>
    <w:uiPriority w:val="1"/>
    <w:qFormat/>
    <w:pPr/>
    <w:rPr>
      <w:rFonts w:ascii="Book Antiqua" w:hAnsi="Book Antiqua" w:eastAsia="Book Antiqua" w:cs="Book Antiqua"/>
      <w:i/>
      <w:iCs/>
      <w:sz w:val="16"/>
      <w:szCs w:val="16"/>
      <w:lang w:val="hu-HU" w:eastAsia="en-US" w:bidi="ar-SA"/>
    </w:rPr>
  </w:style>
  <w:style w:styleId="Heading1" w:type="paragraph">
    <w:name w:val="Heading 1"/>
    <w:basedOn w:val="Normal"/>
    <w:uiPriority w:val="1"/>
    <w:qFormat/>
    <w:pPr>
      <w:ind w:right="5"/>
      <w:jc w:val="center"/>
      <w:outlineLvl w:val="1"/>
    </w:pPr>
    <w:rPr>
      <w:rFonts w:ascii="Book Antiqua" w:hAnsi="Book Antiqua" w:eastAsia="Book Antiqua" w:cs="Book Antiqua"/>
      <w:b/>
      <w:bCs/>
      <w:sz w:val="24"/>
      <w:szCs w:val="24"/>
      <w:lang w:val="hu-HU" w:eastAsia="en-US" w:bidi="ar-SA"/>
    </w:rPr>
  </w:style>
  <w:style w:styleId="Heading2" w:type="paragraph">
    <w:name w:val="Heading 2"/>
    <w:basedOn w:val="Normal"/>
    <w:uiPriority w:val="1"/>
    <w:qFormat/>
    <w:pPr>
      <w:ind w:left="141" w:hanging="475"/>
      <w:outlineLvl w:val="2"/>
    </w:pPr>
    <w:rPr>
      <w:rFonts w:ascii="Book Antiqua" w:hAnsi="Book Antiqua" w:eastAsia="Book Antiqua" w:cs="Book Antiqua"/>
      <w:sz w:val="22"/>
      <w:szCs w:val="22"/>
      <w:lang w:val="hu-HU" w:eastAsia="en-US" w:bidi="ar-SA"/>
    </w:rPr>
  </w:style>
  <w:style w:styleId="ListParagraph" w:type="paragraph">
    <w:name w:val="List Paragraph"/>
    <w:basedOn w:val="Normal"/>
    <w:uiPriority w:val="1"/>
    <w:qFormat/>
    <w:pPr>
      <w:ind w:left="292" w:firstLine="240"/>
      <w:jc w:val="both"/>
    </w:pPr>
    <w:rPr>
      <w:rFonts w:ascii="Book Antiqua" w:hAnsi="Book Antiqua" w:eastAsia="Book Antiqua" w:cs="Book Antiqua"/>
      <w:lang w:val="hu-H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hu-H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Rázsi Miklós</dc:creator>
  <dc:title>Microsoft Word - 3.sz.melleklet</dc:title>
  <dcterms:created xsi:type="dcterms:W3CDTF">2026-10-05T08:53:15Z</dcterms:created>
  <dcterms:modified xsi:type="dcterms:W3CDTF">2026-10-05T08:53:15Z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2025-01-16T00:00:00Z</vt:filetime>
  </property>
  <property fmtid="{D5CDD505-2E9C-101B-9397-08002B2CF9AE}" pid="3" name="LastSaved">
    <vt:filetime>2026-10-05T00:00:00Z</vt:filetime>
  </property>
  <property fmtid="{D5CDD505-2E9C-101B-9397-08002B2CF9AE}" pid="4" name="Producer">
    <vt:lpwstr>Microsoft: Print To PDF</vt:lpwstr>
  </property>
</Properties>
</file>